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03 февраля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573DEF">
        <w:rPr>
          <w:sz w:val="26"/>
          <w:szCs w:val="26"/>
        </w:rPr>
        <w:t>94-2802/2025</w:t>
      </w:r>
      <w:r>
        <w:rPr>
          <w:sz w:val="26"/>
          <w:szCs w:val="26"/>
        </w:rPr>
        <w:t xml:space="preserve">, возбужденное по ст.15.5 КоАП РФ в отношении должностного лица – </w:t>
      </w:r>
      <w:r w:rsidR="00573DEF">
        <w:rPr>
          <w:sz w:val="26"/>
          <w:szCs w:val="26"/>
        </w:rPr>
        <w:t xml:space="preserve">президента Ассоциации народного искусства и дизайна </w:t>
      </w:r>
      <w:r w:rsidR="00573DEF">
        <w:rPr>
          <w:sz w:val="26"/>
          <w:szCs w:val="26"/>
        </w:rPr>
        <w:t>Бубновене</w:t>
      </w:r>
      <w:r w:rsidR="00573DEF">
        <w:rPr>
          <w:sz w:val="26"/>
          <w:szCs w:val="26"/>
        </w:rPr>
        <w:t xml:space="preserve"> </w:t>
      </w:r>
      <w:r w:rsidR="00883D58">
        <w:rPr>
          <w:b/>
          <w:color w:val="000000"/>
          <w:sz w:val="28"/>
          <w:szCs w:val="28"/>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Бубновене</w:t>
      </w:r>
      <w:r>
        <w:rPr>
          <w:szCs w:val="26"/>
        </w:rPr>
        <w:t xml:space="preserve"> О.Д.</w:t>
      </w:r>
      <w:r>
        <w:rPr>
          <w:szCs w:val="26"/>
        </w:rPr>
        <w:t xml:space="preserve">, являясь </w:t>
      </w:r>
      <w:r>
        <w:rPr>
          <w:szCs w:val="26"/>
        </w:rPr>
        <w:t>президентом Ассоциации народного искусства и дизайна</w:t>
      </w:r>
      <w:r>
        <w:rPr>
          <w:szCs w:val="26"/>
        </w:rPr>
        <w:t xml:space="preserve">, расположенного по адресу: </w:t>
      </w:r>
      <w:r w:rsidR="00883D58">
        <w:rPr>
          <w:b/>
          <w:color w:val="000000"/>
          <w:sz w:val="28"/>
          <w:szCs w:val="28"/>
        </w:rPr>
        <w:t xml:space="preserve">*** </w:t>
      </w:r>
      <w:r>
        <w:rPr>
          <w:szCs w:val="26"/>
        </w:rPr>
        <w:t>26.04.2024 в 00 час. 01 мин. совершил</w:t>
      </w:r>
      <w:r>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расчета по страховым взносам за 3 месяца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573DEF">
        <w:rPr>
          <w:szCs w:val="26"/>
        </w:rPr>
        <w:t>Бубновене</w:t>
      </w:r>
      <w:r w:rsidR="00573DEF">
        <w:rPr>
          <w:szCs w:val="26"/>
        </w:rPr>
        <w:t xml:space="preserve"> О.Д.</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Pr>
          <w:sz w:val="26"/>
          <w:szCs w:val="26"/>
        </w:rPr>
        <w:t>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573DEF">
        <w:rPr>
          <w:sz w:val="26"/>
          <w:szCs w:val="26"/>
        </w:rPr>
        <w:t>3 месяца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Pr="00573DEF" w:rsidR="00573DEF">
        <w:rPr>
          <w:sz w:val="26"/>
          <w:szCs w:val="26"/>
        </w:rPr>
        <w:t>Бубновене</w:t>
      </w:r>
      <w:r w:rsidRPr="00573DEF" w:rsidR="00573DEF">
        <w:rPr>
          <w:sz w:val="26"/>
          <w:szCs w:val="26"/>
        </w:rPr>
        <w:t xml:space="preserve"> О.Д.</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0B6F4F" w:rsidP="000B6F4F">
      <w:pPr>
        <w:jc w:val="cente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президента Ассоциации народного искусства и дизайна </w:t>
      </w:r>
      <w:r w:rsidR="00573DEF">
        <w:rPr>
          <w:sz w:val="26"/>
          <w:szCs w:val="26"/>
        </w:rPr>
        <w:t>Бубновене</w:t>
      </w:r>
      <w:r w:rsidR="00573DEF">
        <w:rPr>
          <w:sz w:val="26"/>
          <w:szCs w:val="26"/>
        </w:rPr>
        <w:t xml:space="preserve"> </w:t>
      </w:r>
      <w:r w:rsidR="00883D58">
        <w:rPr>
          <w:b/>
          <w:color w:val="000000"/>
          <w:sz w:val="28"/>
          <w:szCs w:val="28"/>
        </w:rPr>
        <w:t xml:space="preserve">*** </w:t>
      </w:r>
      <w:r>
        <w:rPr>
          <w:snapToGrid w:val="0"/>
          <w:color w:val="000000"/>
          <w:sz w:val="26"/>
          <w:szCs w:val="26"/>
        </w:rPr>
        <w:t xml:space="preserve">в совершении административного правонарушения, </w:t>
      </w:r>
      <w:r>
        <w:rPr>
          <w:snapToGrid w:val="0"/>
          <w:color w:val="000000"/>
          <w:sz w:val="26"/>
          <w:szCs w:val="26"/>
        </w:rPr>
        <w:t xml:space="preserve">предусмотренного ст.15.5 КоАП РФ, и назначить </w:t>
      </w:r>
      <w:r w:rsidR="002178C2">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B6F4F"/>
    <w:rsid w:val="002178C2"/>
    <w:rsid w:val="003F4A81"/>
    <w:rsid w:val="00573DEF"/>
    <w:rsid w:val="00883D58"/>
    <w:rsid w:val="009E5BE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